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E058C77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5266BC69" w14:textId="7AB71B70" w:rsidR="004E6D08" w:rsidRPr="00982975" w:rsidRDefault="004E6D08" w:rsidP="004E6D08">
      <w:pPr>
        <w:ind w:left="5579" w:right="-284"/>
        <w:rPr>
          <w:rFonts w:ascii="Times New Roman" w:hAnsi="Times New Roman" w:cs="Times New Roman"/>
          <w:sz w:val="28"/>
          <w:szCs w:val="28"/>
        </w:rPr>
      </w:pPr>
    </w:p>
    <w:p w14:paraId="1E0AB61E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1BF966C8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49E8BDE1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00C93590" w14:textId="77777777" w:rsidR="00A00D69" w:rsidRPr="002545EB" w:rsidRDefault="00A00D69" w:rsidP="00A00D69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42187A1A" w14:textId="77777777" w:rsidR="00A00D69" w:rsidRPr="002545EB" w:rsidRDefault="00A00D69" w:rsidP="00A00D69">
      <w:pPr>
        <w:autoSpaceDE w:val="0"/>
        <w:autoSpaceDN w:val="0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45EB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4A56FBC2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60525BC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BAC4B46" w14:textId="5DA49BC9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  <w:r w:rsidR="002D7AE2"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518B0CE" w:rsidR="00BE355C" w:rsidRPr="00BE355C" w:rsidRDefault="00BE355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профессионального модуля </w:t>
      </w:r>
      <w:bookmarkStart w:id="0" w:name="_Hlk104899277"/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>ПМ.0</w:t>
      </w:r>
      <w:r w:rsidR="003614E1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Pr="00BE355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</w:t>
      </w:r>
      <w:r w:rsidR="008D619E" w:rsidRPr="008D619E">
        <w:rPr>
          <w:rFonts w:ascii="Times New Roman" w:hAnsi="Times New Roman" w:cs="Times New Roman"/>
          <w:b/>
          <w:bCs/>
          <w:sz w:val="28"/>
          <w:szCs w:val="28"/>
        </w:rPr>
        <w:t>Документирование хозяйственных операций и ведение бухгалтерского учета активов организации</w:t>
      </w:r>
      <w:r w:rsidR="003614E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D9C75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00D6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7A0B1D33" w:rsidR="008D619E" w:rsidRPr="001E5CF6" w:rsidRDefault="008D619E" w:rsidP="008D619E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>
        <w:rPr>
          <w:rFonts w:ascii="Times New Roman" w:hAnsi="Times New Roman" w:cs="Times New Roman"/>
        </w:rPr>
        <w:t>учебной</w:t>
      </w:r>
      <w:r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0410"/>
      <w:r>
        <w:rPr>
          <w:rFonts w:ascii="Times New Roman" w:hAnsi="Times New Roman" w:cs="Times New Roman"/>
          <w:bCs/>
          <w:caps/>
        </w:rPr>
        <w:t>ПМ.01 «</w:t>
      </w:r>
      <w:r w:rsidRPr="008D619E">
        <w:rPr>
          <w:rFonts w:ascii="Times New Roman" w:hAnsi="Times New Roman" w:cs="Times New Roman"/>
          <w:bCs/>
          <w:caps/>
        </w:rPr>
        <w:t>Документирование хозяйственных операций и ведение бухгалтерского учета активов организации</w:t>
      </w:r>
      <w:r>
        <w:rPr>
          <w:rFonts w:ascii="Times New Roman" w:hAnsi="Times New Roman" w:cs="Times New Roman"/>
          <w:bCs/>
          <w:caps/>
        </w:rPr>
        <w:t>»</w:t>
      </w:r>
      <w:bookmarkEnd w:id="1"/>
      <w:r>
        <w:rPr>
          <w:rFonts w:ascii="Times New Roman" w:hAnsi="Times New Roman" w:cs="Times New Roman"/>
          <w:bCs/>
          <w:caps/>
        </w:rPr>
        <w:t xml:space="preserve"> </w:t>
      </w:r>
      <w:r w:rsidRPr="00270329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соответствии с </w:t>
      </w:r>
      <w:r w:rsidRPr="00270329">
        <w:rPr>
          <w:rFonts w:ascii="Times New Roman" w:hAnsi="Times New Roman" w:cs="Times New Roman"/>
        </w:rPr>
        <w:t>Федеральн</w:t>
      </w:r>
      <w:r>
        <w:rPr>
          <w:rFonts w:ascii="Times New Roman" w:hAnsi="Times New Roman" w:cs="Times New Roman"/>
        </w:rPr>
        <w:t xml:space="preserve">ым </w:t>
      </w:r>
      <w:r w:rsidRPr="00270329">
        <w:rPr>
          <w:rFonts w:ascii="Times New Roman" w:hAnsi="Times New Roman" w:cs="Times New Roman"/>
        </w:rPr>
        <w:t>государственн</w:t>
      </w:r>
      <w:r>
        <w:rPr>
          <w:rFonts w:ascii="Times New Roman" w:hAnsi="Times New Roman" w:cs="Times New Roman"/>
        </w:rPr>
        <w:t>ым</w:t>
      </w:r>
      <w:r w:rsidRPr="00270329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 xml:space="preserve">ым стандартом по специальности </w:t>
      </w:r>
      <w:r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>
        <w:rPr>
          <w:rFonts w:ascii="Times New Roman" w:hAnsi="Times New Roman" w:cs="Times New Roman"/>
        </w:rPr>
        <w:t>38.02.01</w:t>
      </w:r>
      <w:r w:rsidRPr="001E5C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Экономика и бухгалтерский учет (по отраслям)</w:t>
      </w:r>
      <w:r w:rsidRPr="001E5CF6">
        <w:rPr>
          <w:rFonts w:ascii="Times New Roman" w:hAnsi="Times New Roman" w:cs="Times New Roman"/>
        </w:rPr>
        <w:t xml:space="preserve"> </w:t>
      </w:r>
      <w:r w:rsidRPr="00270329">
        <w:rPr>
          <w:rFonts w:ascii="Times New Roman" w:hAnsi="Times New Roman" w:cs="Times New Roman"/>
        </w:rPr>
        <w:t xml:space="preserve">(базовая подготовка), утвержденного приказом Минобрнауки России </w:t>
      </w:r>
      <w:r>
        <w:rPr>
          <w:rFonts w:ascii="Times New Roman" w:hAnsi="Times New Roman" w:cs="Times New Roman"/>
        </w:rPr>
        <w:t xml:space="preserve">от </w:t>
      </w:r>
      <w:r w:rsidRPr="00F4525E">
        <w:rPr>
          <w:rFonts w:ascii="Times New Roman" w:hAnsi="Times New Roman" w:cs="Times New Roman"/>
        </w:rPr>
        <w:t>5 февраля 2018 г. N 69</w:t>
      </w:r>
      <w:r>
        <w:rPr>
          <w:rFonts w:ascii="Times New Roman" w:hAnsi="Times New Roman" w:cs="Times New Roman"/>
        </w:rPr>
        <w:t>.</w:t>
      </w:r>
    </w:p>
    <w:p w14:paraId="6B427F44" w14:textId="77777777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5A78D24D" w:rsidR="008D619E" w:rsidRPr="00E83058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производственной практики профессионального модуля </w:t>
      </w:r>
      <w:r>
        <w:rPr>
          <w:bCs/>
          <w:caps/>
        </w:rPr>
        <w:t>ПМ.01 «</w:t>
      </w:r>
      <w:r w:rsidRPr="008D619E">
        <w:rPr>
          <w:bCs/>
          <w:caps/>
        </w:rPr>
        <w:t>Документирование хозяйственных операций и ведение бухгалтерского учета активов организации</w:t>
      </w:r>
      <w:r>
        <w:rPr>
          <w:bCs/>
          <w:caps/>
        </w:rPr>
        <w:t>»</w:t>
      </w:r>
      <w:r>
        <w:rPr>
          <w:bCs/>
        </w:rPr>
        <w:t xml:space="preserve"> </w:t>
      </w:r>
      <w:r w:rsidRPr="00270329">
        <w:t xml:space="preserve">рассмотрена и одобрена на заседании кафедры </w:t>
      </w:r>
      <w:r w:rsidRPr="00F4525E">
        <w:t xml:space="preserve">общеобразовательных </w:t>
      </w:r>
      <w:r w:rsidR="00BE093E" w:rsidRPr="00F4525E">
        <w:t xml:space="preserve">гуманитарных </w:t>
      </w:r>
      <w:r w:rsidRPr="00F4525E">
        <w:t>и социально-</w:t>
      </w:r>
      <w:r w:rsidR="00BE093E">
        <w:t>экономических</w:t>
      </w:r>
      <w:r w:rsidRPr="00F4525E">
        <w:t xml:space="preserve"> дисциплин</w:t>
      </w:r>
      <w:r w:rsidRPr="00270329">
        <w:t xml:space="preserve"> </w:t>
      </w:r>
      <w:bookmarkStart w:id="2" w:name="_Hlk98324935"/>
      <w:bookmarkStart w:id="3" w:name="_Hlk98325120"/>
      <w:r w:rsidRPr="00753F4C">
        <w:rPr>
          <w:color w:val="000000"/>
          <w:kern w:val="28"/>
          <w:lang w:eastAsia="en-US"/>
        </w:rPr>
        <w:t xml:space="preserve">протокол № </w:t>
      </w:r>
      <w:r w:rsidRPr="00753F4C">
        <w:rPr>
          <w:color w:val="000000"/>
          <w:kern w:val="28"/>
          <w:u w:val="single"/>
          <w:lang w:eastAsia="en-US"/>
        </w:rPr>
        <w:t>0</w:t>
      </w:r>
      <w:r>
        <w:rPr>
          <w:color w:val="000000"/>
          <w:kern w:val="28"/>
          <w:u w:val="single"/>
          <w:lang w:eastAsia="en-US"/>
        </w:rPr>
        <w:t>2</w:t>
      </w:r>
      <w:r w:rsidRPr="00753F4C">
        <w:rPr>
          <w:color w:val="000000"/>
          <w:kern w:val="28"/>
          <w:lang w:eastAsia="en-US"/>
        </w:rPr>
        <w:t xml:space="preserve"> от «</w:t>
      </w:r>
      <w:r>
        <w:rPr>
          <w:color w:val="000000"/>
          <w:kern w:val="28"/>
          <w:u w:val="single"/>
          <w:lang w:eastAsia="en-US"/>
        </w:rPr>
        <w:t>21</w:t>
      </w:r>
      <w:r w:rsidRPr="00753F4C">
        <w:rPr>
          <w:color w:val="000000"/>
          <w:kern w:val="28"/>
          <w:lang w:eastAsia="en-US"/>
        </w:rPr>
        <w:t xml:space="preserve">» </w:t>
      </w:r>
      <w:r>
        <w:rPr>
          <w:color w:val="000000"/>
          <w:kern w:val="28"/>
          <w:u w:val="single"/>
          <w:lang w:eastAsia="en-US"/>
        </w:rPr>
        <w:t>февраля</w:t>
      </w:r>
      <w:r w:rsidRPr="00753F4C">
        <w:rPr>
          <w:color w:val="000000"/>
          <w:kern w:val="28"/>
          <w:lang w:eastAsia="en-US"/>
        </w:rPr>
        <w:t xml:space="preserve"> 202</w:t>
      </w:r>
      <w:r>
        <w:rPr>
          <w:color w:val="000000"/>
          <w:kern w:val="28"/>
          <w:lang w:eastAsia="en-US"/>
        </w:rPr>
        <w:t>3</w:t>
      </w:r>
      <w:r w:rsidRPr="00753F4C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77777777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ПРОГРАММЫ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79C6D7C9" w14:textId="5D421D50" w:rsidR="00AD1B26" w:rsidRPr="00985450" w:rsidRDefault="004F643E" w:rsidP="00633DB0">
      <w:pPr>
        <w:pStyle w:val="22"/>
        <w:shd w:val="clear" w:color="auto" w:fill="auto"/>
        <w:spacing w:before="0" w:after="236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6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7A0C67" w:rsidRPr="007A0C67">
        <w:rPr>
          <w:sz w:val="24"/>
          <w:szCs w:val="24"/>
        </w:rPr>
        <w:t xml:space="preserve"> (базовая подготовка)</w:t>
      </w:r>
      <w:r w:rsidR="00985450" w:rsidRPr="00985450">
        <w:rPr>
          <w:sz w:val="24"/>
          <w:szCs w:val="24"/>
        </w:rPr>
        <w:t>.</w:t>
      </w:r>
      <w:bookmarkEnd w:id="6"/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6E861512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7A0C67">
        <w:rPr>
          <w:sz w:val="24"/>
          <w:szCs w:val="24"/>
        </w:rPr>
        <w:t xml:space="preserve"> (базовая подготовка)</w:t>
      </w:r>
      <w:r w:rsidR="00C71FFF" w:rsidRPr="00985450">
        <w:rPr>
          <w:sz w:val="24"/>
          <w:szCs w:val="24"/>
        </w:rPr>
        <w:t>.</w:t>
      </w:r>
    </w:p>
    <w:p w14:paraId="330E4EB1" w14:textId="20466A47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A20413">
        <w:rPr>
          <w:sz w:val="24"/>
          <w:szCs w:val="24"/>
        </w:rPr>
        <w:t>1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C71FFF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510750BE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 xml:space="preserve">01.01 </w:t>
      </w:r>
      <w:r w:rsidR="00C71FFF" w:rsidRPr="00C71FFF">
        <w:rPr>
          <w:sz w:val="24"/>
          <w:szCs w:val="24"/>
        </w:rPr>
        <w:t>Практические основы бухгалтерского учета активов организации</w:t>
      </w:r>
      <w:r w:rsidR="00C71FFF">
        <w:rPr>
          <w:sz w:val="24"/>
          <w:szCs w:val="24"/>
        </w:rPr>
        <w:t>.</w:t>
      </w:r>
    </w:p>
    <w:p w14:paraId="2BA6DB38" w14:textId="660460ED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8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8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649002DA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53EF2201" w14:textId="59E8DDB5" w:rsidR="00257F93" w:rsidRDefault="00257F93" w:rsidP="009513DB">
      <w:pPr>
        <w:pStyle w:val="310"/>
        <w:tabs>
          <w:tab w:val="left" w:pos="1407"/>
        </w:tabs>
        <w:spacing w:line="360" w:lineRule="auto"/>
        <w:ind w:left="70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81A824C" w14:textId="682B08C4" w:rsidR="00C71FFF" w:rsidRPr="00794BA3" w:rsidRDefault="00C71FFF" w:rsidP="00794BA3">
      <w:pPr>
        <w:pStyle w:val="af4"/>
        <w:numPr>
          <w:ilvl w:val="0"/>
          <w:numId w:val="16"/>
        </w:numPr>
        <w:spacing w:line="276" w:lineRule="auto"/>
        <w:ind w:left="0" w:firstLine="709"/>
        <w:rPr>
          <w:sz w:val="24"/>
          <w:szCs w:val="24"/>
        </w:rPr>
      </w:pPr>
      <w:r w:rsidRPr="00794BA3">
        <w:rPr>
          <w:sz w:val="24"/>
          <w:szCs w:val="24"/>
        </w:rPr>
        <w:t>документирования хозяйственных операций и ведении бухгалтерского учета активов организации.</w:t>
      </w:r>
    </w:p>
    <w:p w14:paraId="3C48B554" w14:textId="569E6389" w:rsidR="007F5358" w:rsidRPr="007F5358" w:rsidRDefault="007F5358" w:rsidP="005A2243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00AE979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44FAEAA7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6908DE3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проверять наличие в произвольных первичных бухгалтерских документах обязательных реквизитов;</w:t>
      </w:r>
    </w:p>
    <w:p w14:paraId="144299BD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формальную проверку документов, проверку по существу, арифметическую проверку;</w:t>
      </w:r>
    </w:p>
    <w:p w14:paraId="5A109763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группировку первичных бухгалтерских документов по ряду признаков;</w:t>
      </w:r>
    </w:p>
    <w:p w14:paraId="498CA5DA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таксировку и контировку первичных бухгалтерских документов;</w:t>
      </w:r>
    </w:p>
    <w:p w14:paraId="33C383D2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организовывать документооборот;</w:t>
      </w:r>
    </w:p>
    <w:p w14:paraId="6EA4F125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разбираться в номенклатуре дел;</w:t>
      </w:r>
    </w:p>
    <w:p w14:paraId="48C3FAD2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заносить данные по сгруппированным документам в регистры бухгалтерского учета;</w:t>
      </w:r>
    </w:p>
    <w:p w14:paraId="217A3729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передавать первичные бухгалтерские документы в текущий бухгалтерский архив;</w:t>
      </w:r>
    </w:p>
    <w:p w14:paraId="68A2F6CF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передавать первичные бухгалтерские документы в постоянный архив по истечении установленного срока хранения;</w:t>
      </w:r>
    </w:p>
    <w:p w14:paraId="4EE35803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исправлять ошибки в первичных бухгалтерских документах;</w:t>
      </w:r>
    </w:p>
    <w:p w14:paraId="02B44BC0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59CAC45D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52DC05CB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конструировать поэтапно рабочий план счетов бухгалтерского учета организации;</w:t>
      </w:r>
    </w:p>
    <w:p w14:paraId="5DD71DB4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кассовых операций, денежных документов и переводов в пути;</w:t>
      </w:r>
    </w:p>
    <w:p w14:paraId="209B5DE1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денежных средств на расчетных и специальных счетах;</w:t>
      </w:r>
    </w:p>
    <w:p w14:paraId="036D5244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учитывать особенности учета кассовых операций в иностранной валюте и операций по валютным счетам;</w:t>
      </w:r>
    </w:p>
    <w:p w14:paraId="13F99FC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оформлять денежные и кассовые документы;</w:t>
      </w:r>
    </w:p>
    <w:p w14:paraId="6A740536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заполнять кассовую книгу и отчет кассира в бухгалтерию;</w:t>
      </w:r>
    </w:p>
    <w:p w14:paraId="7FF8D9FB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основных средств;</w:t>
      </w:r>
    </w:p>
    <w:p w14:paraId="08CF6B92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нематериальных активов;</w:t>
      </w:r>
    </w:p>
    <w:p w14:paraId="185E7D68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долгосрочных инвестиций;</w:t>
      </w:r>
    </w:p>
    <w:p w14:paraId="7BFDCF8D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финансовых вложений и ценных бумаг;</w:t>
      </w:r>
    </w:p>
    <w:p w14:paraId="53104D15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материально-производственных запасов;</w:t>
      </w:r>
    </w:p>
    <w:p w14:paraId="3369F805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затрат на производство и калькулирование себестоимости;</w:t>
      </w:r>
    </w:p>
    <w:p w14:paraId="035CA60C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готовой продукции и ее реализации;</w:t>
      </w:r>
    </w:p>
    <w:p w14:paraId="145ABFC0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текущих операций и расчетов;</w:t>
      </w:r>
    </w:p>
    <w:p w14:paraId="787AF4B9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труда и заработной платы;</w:t>
      </w:r>
    </w:p>
    <w:p w14:paraId="200B6474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финансовых результатов и использования прибыли;</w:t>
      </w:r>
    </w:p>
    <w:p w14:paraId="70198ABB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собственного капитала;</w:t>
      </w:r>
    </w:p>
    <w:p w14:paraId="1EEC2AE9" w14:textId="77777777" w:rsidR="00C71FFF" w:rsidRPr="00C71FFF" w:rsidRDefault="00C71FFF" w:rsidP="00C71FFF">
      <w:pPr>
        <w:widowControl/>
        <w:numPr>
          <w:ilvl w:val="0"/>
          <w:numId w:val="22"/>
        </w:numPr>
        <w:tabs>
          <w:tab w:val="left" w:pos="990"/>
        </w:tabs>
        <w:ind w:left="284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71FFF">
        <w:rPr>
          <w:rFonts w:ascii="Times New Roman" w:eastAsia="Times New Roman" w:hAnsi="Times New Roman" w:cs="Times New Roman"/>
          <w:color w:val="auto"/>
          <w:lang w:bidi="ar-SA"/>
        </w:rPr>
        <w:t>проводить учет кредитов и займов.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3567FF5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71BAAB0D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 первичной бухгалтерской документации;</w:t>
      </w:r>
    </w:p>
    <w:p w14:paraId="21410FC1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определение первичных бухгалтерских документов;</w:t>
      </w:r>
    </w:p>
    <w:p w14:paraId="580626AB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формы первичных бухгалтерских документов, содержащих обязательные реквизиты первичного учетного документа;</w:t>
      </w:r>
    </w:p>
    <w:p w14:paraId="7F0659DD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31B27B2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принципы и признаки группировки первичных бухгалтерских документов;</w:t>
      </w:r>
    </w:p>
    <w:p w14:paraId="272A86F8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проведения таксировки и контировки первичных бухгалтерских документов;</w:t>
      </w:r>
    </w:p>
    <w:p w14:paraId="258893BD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составления регистров бухгалтерского учета;</w:t>
      </w:r>
    </w:p>
    <w:p w14:paraId="0398839E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правила и сроки хранения первичной бухгалтерской документации;</w:t>
      </w:r>
    </w:p>
    <w:p w14:paraId="0CFE0298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сущность плана счетов бухгалтерского учета финансово-хозяйственной деятельности организаций;</w:t>
      </w:r>
    </w:p>
    <w:p w14:paraId="07B62B8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72B1B21C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инструкцию по применению плана счетов бухгалтерского учета;</w:t>
      </w:r>
    </w:p>
    <w:p w14:paraId="260ADFF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принципы и цели разработки рабочего плана счетов бухгалтерского учета организации;</w:t>
      </w:r>
    </w:p>
    <w:p w14:paraId="0A3F1A6B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классификацию счетов бухгалтерского учета по экономическому содержанию, назначению и структуре;</w:t>
      </w:r>
    </w:p>
    <w:p w14:paraId="31E52ED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4043FD1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кассовых операций, денежных документов и переводов в пути;</w:t>
      </w:r>
    </w:p>
    <w:p w14:paraId="0B518AFE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денежных средств на расчетных и специальных счетах;</w:t>
      </w:r>
    </w:p>
    <w:p w14:paraId="524DDCC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особенности учета кассовых операций в иностранной валюте и операций по валютным счетам;</w:t>
      </w:r>
    </w:p>
    <w:p w14:paraId="101AD7F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порядок оформления денежных и кассовых документов, заполнения кассовой книги;</w:t>
      </w:r>
    </w:p>
    <w:p w14:paraId="70DB0DBE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правила заполнения отчета кассира в бухгалтерию;</w:t>
      </w:r>
    </w:p>
    <w:p w14:paraId="1EAB200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 и классификацию основных средств;</w:t>
      </w:r>
    </w:p>
    <w:p w14:paraId="25F82C2C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оценку и переоценку основных средств;</w:t>
      </w:r>
    </w:p>
    <w:p w14:paraId="3CC34AFB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поступления основных средств;</w:t>
      </w:r>
    </w:p>
    <w:p w14:paraId="2B206576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выбытия и аренды основных средств;</w:t>
      </w:r>
    </w:p>
    <w:p w14:paraId="14E13763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амортизации основных средств;</w:t>
      </w:r>
    </w:p>
    <w:p w14:paraId="1F168A70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особенности учета арендованных и сданных в аренду основных средств;</w:t>
      </w:r>
    </w:p>
    <w:p w14:paraId="3EC9AA60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 и классификацию нематериальных активов;</w:t>
      </w:r>
    </w:p>
    <w:p w14:paraId="599A0DD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поступления и выбытия нематериальных активов;</w:t>
      </w:r>
    </w:p>
    <w:p w14:paraId="06122A08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амортизацию нематериальных активов;</w:t>
      </w:r>
    </w:p>
    <w:p w14:paraId="01E3337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долгосрочных инвестиций;</w:t>
      </w:r>
    </w:p>
    <w:p w14:paraId="043A7623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финансовых вложений и ценных бумаг;</w:t>
      </w:r>
    </w:p>
    <w:p w14:paraId="51D2D3A4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материально-производственных запасов:</w:t>
      </w:r>
    </w:p>
    <w:p w14:paraId="200E0A8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понятие, классификацию и оценку материально-производственных запасов;</w:t>
      </w:r>
    </w:p>
    <w:p w14:paraId="55B6539A" w14:textId="77777777" w:rsidR="00C71FFF" w:rsidRPr="00C71FFF" w:rsidRDefault="00C71FFF" w:rsidP="00C71FFF">
      <w:pPr>
        <w:pStyle w:val="ConsPlusNormal"/>
        <w:widowControl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документальное оформление поступления и расхода материально-производственных запасов;</w:t>
      </w:r>
    </w:p>
    <w:p w14:paraId="4EB21921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материалов на складе и в бухгалтерии;</w:t>
      </w:r>
    </w:p>
    <w:p w14:paraId="217AED31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синтетический учет движения материалов;</w:t>
      </w:r>
    </w:p>
    <w:p w14:paraId="03EA415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транспортно-заготовительных расходов;</w:t>
      </w:r>
    </w:p>
    <w:p w14:paraId="4CD9D749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затрат на производство и калькулирование себестоимости:</w:t>
      </w:r>
    </w:p>
    <w:p w14:paraId="5C24F132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систему учета производственных затрат и их классификацию;</w:t>
      </w:r>
    </w:p>
    <w:p w14:paraId="1045F7A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сводный учет затрат на производство, обслуживание производства и управление;</w:t>
      </w:r>
    </w:p>
    <w:p w14:paraId="673AE8D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особенности учета и распределения затрат вспомогательных производств;</w:t>
      </w:r>
    </w:p>
    <w:p w14:paraId="5A03166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потерь и непроизводственных расходов;</w:t>
      </w:r>
    </w:p>
    <w:p w14:paraId="43807F1C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и оценку незавершенного производства;</w:t>
      </w:r>
    </w:p>
    <w:p w14:paraId="33992665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калькуляцию себестоимости продукции;</w:t>
      </w:r>
    </w:p>
    <w:p w14:paraId="1562C6A3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характеристику готовой продукции, оценку и синтетический учет;</w:t>
      </w:r>
    </w:p>
    <w:p w14:paraId="096B1BCF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технологию реализации готовой продукции (работ, услуг);</w:t>
      </w:r>
    </w:p>
    <w:p w14:paraId="6D167757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выручки от реализации продукции (работ, услуг);</w:t>
      </w:r>
    </w:p>
    <w:p w14:paraId="11ED25B7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расходов по реализации продукции, выполнению работ и оказанию услуг;</w:t>
      </w:r>
    </w:p>
    <w:p w14:paraId="51CCA08A" w14:textId="77777777" w:rsidR="00C71FFF" w:rsidRPr="00C71FFF" w:rsidRDefault="00C71FFF" w:rsidP="00C71FFF">
      <w:pPr>
        <w:pStyle w:val="ConsPlusNormal"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дебиторской и кредиторской задолженности и формы расчетов;</w:t>
      </w:r>
    </w:p>
    <w:p w14:paraId="3237BDC7" w14:textId="77777777" w:rsidR="00C71FFF" w:rsidRPr="00C71FFF" w:rsidRDefault="00C71FFF" w:rsidP="00C71FFF">
      <w:pPr>
        <w:pStyle w:val="ConsPlusNormal"/>
        <w:widowControl/>
        <w:numPr>
          <w:ilvl w:val="0"/>
          <w:numId w:val="23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1FFF">
        <w:rPr>
          <w:rFonts w:ascii="Times New Roman" w:hAnsi="Times New Roman" w:cs="Times New Roman"/>
          <w:sz w:val="24"/>
          <w:szCs w:val="24"/>
        </w:rPr>
        <w:t>учет расчетов с работниками по прочим операциям и расчетов с подотчетными лицами.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449DBA39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>
        <w:rPr>
          <w:rStyle w:val="ab"/>
          <w:sz w:val="20"/>
          <w:szCs w:val="20"/>
        </w:rPr>
        <w:t>1</w:t>
      </w:r>
      <w:r w:rsidRPr="000F30EB">
        <w:rPr>
          <w:rStyle w:val="ab"/>
          <w:sz w:val="20"/>
          <w:szCs w:val="20"/>
        </w:rPr>
        <w:t xml:space="preserve"> - </w:t>
      </w:r>
      <w:r>
        <w:rPr>
          <w:rStyle w:val="ab"/>
          <w:sz w:val="20"/>
          <w:szCs w:val="20"/>
        </w:rPr>
        <w:t>Общие</w:t>
      </w:r>
      <w:r w:rsidRPr="000F30EB">
        <w:rPr>
          <w:rStyle w:val="ab"/>
          <w:sz w:val="20"/>
          <w:szCs w:val="20"/>
        </w:rPr>
        <w:t xml:space="preserve"> компетенции (</w:t>
      </w:r>
      <w:r>
        <w:rPr>
          <w:rStyle w:val="ab"/>
          <w:sz w:val="20"/>
          <w:szCs w:val="20"/>
        </w:rPr>
        <w:t>О</w:t>
      </w:r>
      <w:r w:rsidRPr="000F30EB">
        <w:rPr>
          <w:rStyle w:val="ab"/>
          <w:sz w:val="20"/>
          <w:szCs w:val="20"/>
        </w:rPr>
        <w:t>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243197CF" w14:textId="1C65ADFB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  <w:r w:rsidRPr="000F30EB">
        <w:rPr>
          <w:rStyle w:val="ab"/>
          <w:sz w:val="20"/>
          <w:szCs w:val="20"/>
        </w:rPr>
        <w:t xml:space="preserve">Таблица </w:t>
      </w:r>
      <w:r w:rsidR="00027651">
        <w:rPr>
          <w:rStyle w:val="ab"/>
          <w:sz w:val="20"/>
          <w:szCs w:val="20"/>
        </w:rPr>
        <w:t>2</w:t>
      </w:r>
      <w:r w:rsidRPr="000F30EB">
        <w:rPr>
          <w:rStyle w:val="ab"/>
          <w:sz w:val="20"/>
          <w:szCs w:val="20"/>
        </w:rPr>
        <w:t xml:space="preserve"> - Профессиональные компетенции 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25B6B018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A35163" w:rsidRPr="00A35163">
              <w:rPr>
                <w:rStyle w:val="26"/>
                <w:b/>
                <w:bCs/>
                <w:sz w:val="22"/>
                <w:szCs w:val="22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008B46D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>ПК 1.1.</w:t>
            </w:r>
          </w:p>
        </w:tc>
        <w:tc>
          <w:tcPr>
            <w:tcW w:w="7705" w:type="dxa"/>
          </w:tcPr>
          <w:p w14:paraId="324E1E3D" w14:textId="7982ADFB" w:rsidR="00BD7A76" w:rsidRPr="00BD7A76" w:rsidRDefault="00C71FFF" w:rsidP="00C71FFF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Обрабатывать первичные бухгалтерские документы;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7D76BBF6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1.2.</w:t>
            </w:r>
          </w:p>
        </w:tc>
        <w:tc>
          <w:tcPr>
            <w:tcW w:w="7705" w:type="dxa"/>
          </w:tcPr>
          <w:p w14:paraId="7FCFF87F" w14:textId="721061BE" w:rsidR="00BD7A76" w:rsidRPr="00BD7A76" w:rsidRDefault="00C71FFF" w:rsidP="00C71FFF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13EA267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1.3.</w:t>
            </w:r>
          </w:p>
        </w:tc>
        <w:tc>
          <w:tcPr>
            <w:tcW w:w="7705" w:type="dxa"/>
          </w:tcPr>
          <w:p w14:paraId="661EC4AF" w14:textId="2F267983" w:rsidR="00BD7A76" w:rsidRPr="00BD7A76" w:rsidRDefault="00C71FFF" w:rsidP="00C71FFF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388DCD1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1.4.</w:t>
            </w:r>
          </w:p>
        </w:tc>
        <w:tc>
          <w:tcPr>
            <w:tcW w:w="7705" w:type="dxa"/>
          </w:tcPr>
          <w:p w14:paraId="27A1DEA7" w14:textId="02486A66" w:rsidR="00BD7A76" w:rsidRPr="00BD7A76" w:rsidRDefault="00C71FFF" w:rsidP="00BD7A76">
            <w:pPr>
              <w:jc w:val="both"/>
              <w:rPr>
                <w:rFonts w:ascii="Times New Roman" w:hAnsi="Times New Roman" w:cs="Times New Roman"/>
              </w:rPr>
            </w:pPr>
            <w:r w:rsidRPr="00C71FFF">
              <w:rPr>
                <w:rFonts w:ascii="Times New Roman" w:hAnsi="Times New Roman" w:cs="Times New Roman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3C277E2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3341EB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9" w:name="bookmark10"/>
      <w:r w:rsidRPr="00CD2E10">
        <w:rPr>
          <w:sz w:val="24"/>
          <w:szCs w:val="24"/>
        </w:rPr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9"/>
    </w:p>
    <w:p w14:paraId="66214318" w14:textId="03F1187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1E7B3B">
        <w:rPr>
          <w:sz w:val="24"/>
          <w:szCs w:val="24"/>
        </w:rPr>
        <w:t xml:space="preserve">1 </w:t>
      </w:r>
      <w:r w:rsidR="00A35163" w:rsidRPr="00A35163">
        <w:rPr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0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0"/>
    </w:p>
    <w:p w14:paraId="3D6DCBB4" w14:textId="68782592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AF227F">
        <w:rPr>
          <w:b w:val="0"/>
          <w:sz w:val="24"/>
          <w:szCs w:val="24"/>
        </w:rPr>
        <w:t>1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A35163" w:rsidRPr="00A35163">
        <w:rPr>
          <w:b w:val="0"/>
          <w:sz w:val="24"/>
          <w:szCs w:val="24"/>
        </w:rPr>
        <w:t>Документирование хозяйственных операций и ведение бухгалтерского учета активов организации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08475F8E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07384">
              <w:rPr>
                <w:sz w:val="20"/>
                <w:szCs w:val="20"/>
                <w:lang w:val="ru-RU"/>
              </w:rPr>
              <w:t>1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A35163" w:rsidRPr="00A35163">
              <w:rPr>
                <w:sz w:val="20"/>
                <w:szCs w:val="20"/>
                <w:lang w:val="ru-RU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35163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A35163" w:rsidRDefault="00A35163" w:rsidP="00A35163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03F81422" w14:textId="77777777" w:rsidR="00A35163" w:rsidRPr="00A35163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351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Заполнение справки об условной организации, ее организационно-правовой собственности, специализации производства.</w:t>
            </w:r>
          </w:p>
          <w:p w14:paraId="5F29196B" w14:textId="77777777" w:rsidR="00A35163" w:rsidRPr="006641CD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641C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Формирование учетной политики условной организации.</w:t>
            </w:r>
          </w:p>
          <w:p w14:paraId="46C0F922" w14:textId="77777777" w:rsidR="00A35163" w:rsidRPr="006641CD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641C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Разработка рабочего плана счетов бухгалтерского учета, применяемого в организации.</w:t>
            </w:r>
          </w:p>
          <w:p w14:paraId="1A883E50" w14:textId="0D47768D" w:rsidR="00A35163" w:rsidRPr="006641CD" w:rsidRDefault="00A35163" w:rsidP="00A351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641C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Отражение данных об остатках на счетах бухгалтерского учета.</w:t>
            </w:r>
          </w:p>
        </w:tc>
        <w:tc>
          <w:tcPr>
            <w:tcW w:w="1134" w:type="dxa"/>
          </w:tcPr>
          <w:p w14:paraId="77CB522F" w14:textId="58E404DD" w:rsidR="00A35163" w:rsidRPr="00FB5C7E" w:rsidRDefault="00A35163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3E2C504B" w14:textId="77777777" w:rsidR="00A35163" w:rsidRDefault="005C381D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  <w:p w14:paraId="4E1CCE15" w14:textId="3B06F22F" w:rsidR="005C381D" w:rsidRPr="00FB5C7E" w:rsidRDefault="005C381D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 – ПК1.4</w:t>
            </w:r>
          </w:p>
        </w:tc>
      </w:tr>
      <w:tr w:rsidR="005C381D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5C381D" w:rsidRDefault="005C381D" w:rsidP="005C381D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744B476B" w14:textId="77777777" w:rsidR="005C381D" w:rsidRPr="00A35163" w:rsidRDefault="005C381D" w:rsidP="005C38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351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Проверка и обработка первичных бухгалтерских документов.</w:t>
            </w:r>
          </w:p>
          <w:p w14:paraId="06FFBCA0" w14:textId="77777777" w:rsidR="005C381D" w:rsidRPr="00A35163" w:rsidRDefault="005C381D" w:rsidP="005C38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A3516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Исправление ошибок в бухгалтерских документах и в учетных регистрах.</w:t>
            </w:r>
          </w:p>
          <w:p w14:paraId="372750BA" w14:textId="5B1E10C1" w:rsidR="005C381D" w:rsidRPr="00A35163" w:rsidRDefault="005C381D" w:rsidP="005C381D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</w:tc>
        <w:tc>
          <w:tcPr>
            <w:tcW w:w="1134" w:type="dxa"/>
          </w:tcPr>
          <w:p w14:paraId="7A50C835" w14:textId="6D2806EE" w:rsidR="005C381D" w:rsidRPr="008D35BF" w:rsidRDefault="005C381D" w:rsidP="005C381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10B64B35" w14:textId="77777777" w:rsidR="005C381D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  <w:p w14:paraId="0FE6EF27" w14:textId="3C6FF93C" w:rsidR="005C381D" w:rsidRPr="0066722F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 – ПК1.4</w:t>
            </w:r>
          </w:p>
        </w:tc>
      </w:tr>
      <w:tr w:rsidR="005C381D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5C381D" w:rsidRDefault="005C381D" w:rsidP="005C381D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534BB970" w14:textId="77777777" w:rsidR="005C381D" w:rsidRPr="006641CD" w:rsidRDefault="005C381D" w:rsidP="005C381D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14:paraId="1B15EEE8" w14:textId="77777777" w:rsidR="005C381D" w:rsidRPr="006641CD" w:rsidRDefault="005C381D" w:rsidP="005C381D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14:paraId="337AFF5E" w14:textId="77777777" w:rsidR="005C381D" w:rsidRPr="006641CD" w:rsidRDefault="005C381D" w:rsidP="005C381D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14:paraId="496B838C" w14:textId="10A37EC3" w:rsidR="005C381D" w:rsidRPr="00A35163" w:rsidRDefault="005C381D" w:rsidP="005C381D">
            <w:pPr>
              <w:pStyle w:val="TableParagraph"/>
              <w:ind w:left="106" w:right="99"/>
              <w:jc w:val="both"/>
              <w:rPr>
                <w:bCs/>
                <w:sz w:val="24"/>
                <w:szCs w:val="24"/>
                <w:lang w:val="ru-RU"/>
              </w:rPr>
            </w:pPr>
            <w:r w:rsidRPr="00A35163">
              <w:rPr>
                <w:sz w:val="24"/>
                <w:szCs w:val="24"/>
                <w:lang w:val="ru-RU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</w:t>
            </w:r>
          </w:p>
        </w:tc>
        <w:tc>
          <w:tcPr>
            <w:tcW w:w="1134" w:type="dxa"/>
          </w:tcPr>
          <w:p w14:paraId="3CA2718B" w14:textId="3A361FFF" w:rsidR="005C381D" w:rsidRPr="008D35BF" w:rsidRDefault="005C381D" w:rsidP="005C381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2EB9497E" w14:textId="77777777" w:rsidR="005C381D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  <w:p w14:paraId="13469DEA" w14:textId="15452052" w:rsidR="005C381D" w:rsidRPr="0066722F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 – ПК1.4</w:t>
            </w:r>
          </w:p>
        </w:tc>
      </w:tr>
      <w:tr w:rsidR="005C381D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5C381D" w:rsidRDefault="005C381D" w:rsidP="005C381D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A0C66FE" w14:textId="77777777" w:rsidR="005C381D" w:rsidRPr="006641CD" w:rsidRDefault="005C381D" w:rsidP="005C381D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фактов хозяйственной жизни, связанных с нематериальными 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14:paraId="18D7C65D" w14:textId="77777777" w:rsidR="005C381D" w:rsidRPr="006641CD" w:rsidRDefault="005C381D" w:rsidP="005C381D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14:paraId="28E19815" w14:textId="77777777" w:rsidR="005C381D" w:rsidRPr="006641CD" w:rsidRDefault="005C381D" w:rsidP="005C381D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запасов.</w:t>
            </w:r>
          </w:p>
          <w:p w14:paraId="71941D3E" w14:textId="77777777" w:rsidR="005C381D" w:rsidRPr="006641CD" w:rsidRDefault="005C381D" w:rsidP="005C381D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14:paraId="4D28262B" w14:textId="5A32B587" w:rsidR="005C381D" w:rsidRPr="00A35163" w:rsidRDefault="005C381D" w:rsidP="005C381D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A35163">
              <w:rPr>
                <w:sz w:val="24"/>
                <w:szCs w:val="24"/>
                <w:lang w:val="ru-RU"/>
              </w:rPr>
              <w:t>Отражение в учете затрат на производство и калькулирование себестоимости продукции (работ, услуг).</w:t>
            </w:r>
          </w:p>
        </w:tc>
        <w:tc>
          <w:tcPr>
            <w:tcW w:w="1134" w:type="dxa"/>
          </w:tcPr>
          <w:p w14:paraId="184D1AAA" w14:textId="6E63D517" w:rsidR="005C381D" w:rsidRPr="004E5726" w:rsidRDefault="005C381D" w:rsidP="005C381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17F5B073" w14:textId="77777777" w:rsidR="005C381D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  <w:p w14:paraId="6104AA79" w14:textId="477EEA44" w:rsidR="005C381D" w:rsidRDefault="005C381D" w:rsidP="005C381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 – ПК1.4</w:t>
            </w:r>
          </w:p>
        </w:tc>
      </w:tr>
      <w:tr w:rsidR="005C381D" w:rsidRPr="0066722F" w14:paraId="217670D5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BC82E65" w14:textId="77777777" w:rsidR="005C381D" w:rsidRDefault="005C381D" w:rsidP="005C381D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43D6D860" w14:textId="77777777" w:rsidR="005C381D" w:rsidRPr="006641CD" w:rsidRDefault="005C381D" w:rsidP="005C381D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</w:t>
            </w:r>
          </w:p>
          <w:p w14:paraId="2437AE33" w14:textId="77777777" w:rsidR="005C381D" w:rsidRPr="006641CD" w:rsidRDefault="005C381D" w:rsidP="005C381D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6641CD">
              <w:rPr>
                <w:sz w:val="24"/>
                <w:szCs w:val="24"/>
                <w:lang w:val="ru-RU"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14:paraId="69A88665" w14:textId="07228D68" w:rsidR="005C381D" w:rsidRPr="00A35163" w:rsidRDefault="005C381D" w:rsidP="005C381D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A35163">
              <w:rPr>
                <w:sz w:val="24"/>
                <w:szCs w:val="24"/>
                <w:lang w:val="ru-RU"/>
              </w:rPr>
              <w:t xml:space="preserve">Заполнение учетных регистров по учету расчетов с разными дебиторами и кредиторами. </w:t>
            </w:r>
            <w:r w:rsidRPr="00A35163">
              <w:rPr>
                <w:sz w:val="24"/>
                <w:szCs w:val="24"/>
              </w:rPr>
              <w:t>Учет расчетов с подотчетными лицами.</w:t>
            </w:r>
          </w:p>
        </w:tc>
        <w:tc>
          <w:tcPr>
            <w:tcW w:w="1134" w:type="dxa"/>
          </w:tcPr>
          <w:p w14:paraId="0138C941" w14:textId="2B169E13" w:rsidR="005C381D" w:rsidRPr="00F2388C" w:rsidRDefault="005C381D" w:rsidP="005C381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6AEE1F46" w14:textId="77777777" w:rsidR="005C381D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  <w:p w14:paraId="7A8D800D" w14:textId="4C32A1D6" w:rsidR="005C381D" w:rsidRPr="00F2388C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 – ПК1.4</w:t>
            </w:r>
          </w:p>
        </w:tc>
      </w:tr>
      <w:tr w:rsidR="005C381D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5C381D" w:rsidRPr="00F2388C" w:rsidRDefault="005C381D" w:rsidP="005C381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5C381D" w:rsidRPr="00907384" w:rsidRDefault="005C381D" w:rsidP="005C381D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5C381D" w:rsidRPr="00907384" w:rsidRDefault="005C381D" w:rsidP="005C381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4D776DAD" w14:textId="77777777" w:rsidR="005C381D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  <w:p w14:paraId="0C5ACC6C" w14:textId="79B76501" w:rsidR="005C381D" w:rsidRPr="00907384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ПК1.1 – ПК1.4</w:t>
            </w:r>
          </w:p>
        </w:tc>
      </w:tr>
      <w:tr w:rsidR="005C381D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5C381D" w:rsidRPr="00F2388C" w:rsidRDefault="005C381D" w:rsidP="005C381D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5C381D" w:rsidRPr="00021BBF" w:rsidRDefault="005C381D" w:rsidP="005C381D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5C381D" w:rsidRPr="00021BBF" w:rsidRDefault="005C381D" w:rsidP="005C381D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BAACB6E" w14:textId="77777777" w:rsidR="005C381D" w:rsidRDefault="005C381D" w:rsidP="005C38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ОК1-ОК9</w:t>
            </w:r>
          </w:p>
          <w:p w14:paraId="674C349A" w14:textId="324AFC60" w:rsidR="005C381D" w:rsidRPr="00907384" w:rsidRDefault="005C381D" w:rsidP="005C381D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ПК1.1 – ПК1.4</w:t>
            </w:r>
          </w:p>
        </w:tc>
      </w:tr>
      <w:tr w:rsidR="00A35163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A35163" w:rsidRPr="007A76A6" w:rsidRDefault="00A35163" w:rsidP="00A35163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7A3BB6" w14:textId="6359312A" w:rsidR="00A35163" w:rsidRPr="00AF7CD0" w:rsidRDefault="00A35163" w:rsidP="00A35163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3331EAA6" w:rsidR="00A35163" w:rsidRPr="00AF7CD0" w:rsidRDefault="00A35163" w:rsidP="00A35163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6946C700" w14:textId="77777777" w:rsidR="00A35163" w:rsidRPr="007A76A6" w:rsidRDefault="00A35163" w:rsidP="00A35163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38D0C80B" w14:textId="77777777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1" w:name="bookmark13"/>
      <w:r w:rsidRPr="00D50FF5">
        <w:rPr>
          <w:sz w:val="24"/>
          <w:szCs w:val="24"/>
        </w:rPr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1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2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2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CAEF38D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F244E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3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3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compute cores 4C +6G 3.10; 8 Gb Ram; 120 Gb SSD; 500 GB HDD; Win 10 home edition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>технические средства обучения, служащие для представления учебной информации большой аудитории: мультимедийный проектор (1 шт) Benq MW826ST, экран, МФУ (1 шт)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47F9F64B" w14:textId="77777777" w:rsidR="000306D7" w:rsidRDefault="004F643E" w:rsidP="00DA0237">
      <w:pPr>
        <w:pStyle w:val="12"/>
        <w:numPr>
          <w:ilvl w:val="1"/>
          <w:numId w:val="1"/>
        </w:numPr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14" w:name="bookmark16"/>
      <w:r w:rsidRPr="000306D7">
        <w:rPr>
          <w:sz w:val="24"/>
          <w:szCs w:val="24"/>
        </w:rPr>
        <w:t xml:space="preserve">Информационное обеспечение </w:t>
      </w:r>
      <w:r w:rsidR="00EF5C27" w:rsidRPr="000306D7">
        <w:rPr>
          <w:sz w:val="24"/>
          <w:szCs w:val="24"/>
        </w:rPr>
        <w:t xml:space="preserve">учебной </w:t>
      </w:r>
      <w:r w:rsidRPr="000306D7">
        <w:rPr>
          <w:sz w:val="24"/>
          <w:szCs w:val="24"/>
        </w:rPr>
        <w:t>практики</w:t>
      </w:r>
      <w:bookmarkStart w:id="15" w:name="bookmark17"/>
      <w:bookmarkEnd w:id="14"/>
    </w:p>
    <w:bookmarkEnd w:id="15"/>
    <w:p w14:paraId="51A94425" w14:textId="77777777" w:rsidR="0077030E" w:rsidRDefault="0077030E" w:rsidP="00E706C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236E0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0F44CE2A" w14:textId="77777777" w:rsidR="00422672" w:rsidRPr="00422672" w:rsidRDefault="00422672" w:rsidP="00422672">
      <w:pPr>
        <w:pStyle w:val="af4"/>
        <w:widowControl/>
        <w:numPr>
          <w:ilvl w:val="0"/>
          <w:numId w:val="27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5DA5D33C" w14:textId="77777777" w:rsidR="00422672" w:rsidRPr="00422672" w:rsidRDefault="00422672" w:rsidP="00422672">
      <w:pPr>
        <w:pStyle w:val="af4"/>
        <w:widowControl/>
        <w:numPr>
          <w:ilvl w:val="0"/>
          <w:numId w:val="27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3DA5848E" w14:textId="77777777" w:rsidR="00422672" w:rsidRPr="00422672" w:rsidRDefault="00422672" w:rsidP="00422672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422672">
        <w:rPr>
          <w:rFonts w:ascii="Times New Roman" w:eastAsia="Times New Roman" w:hAnsi="Times New Roman" w:cs="Times New Roman"/>
          <w:b/>
          <w:color w:val="auto"/>
          <w:lang w:bidi="ar-SA"/>
        </w:rPr>
        <w:t>Дополнительная литература</w:t>
      </w:r>
    </w:p>
    <w:p w14:paraId="11DB1AAC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D9AFF38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5E3DCCCD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03E6BCED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5EA8B84" w14:textId="77777777" w:rsidR="00422672" w:rsidRPr="00422672" w:rsidRDefault="00422672" w:rsidP="00422672">
      <w:pPr>
        <w:pStyle w:val="af4"/>
        <w:widowControl/>
        <w:numPr>
          <w:ilvl w:val="0"/>
          <w:numId w:val="26"/>
        </w:numPr>
        <w:tabs>
          <w:tab w:val="left" w:pos="880"/>
        </w:tabs>
        <w:spacing w:line="276" w:lineRule="auto"/>
        <w:ind w:left="0" w:firstLine="709"/>
        <w:jc w:val="both"/>
        <w:outlineLvl w:val="0"/>
        <w:rPr>
          <w:bCs/>
        </w:rPr>
      </w:pPr>
      <w:r w:rsidRPr="00422672">
        <w:rPr>
          <w:bCs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4D34846F" w14:textId="77777777" w:rsidR="00A35163" w:rsidRPr="00236E08" w:rsidRDefault="00A35163" w:rsidP="00E706C9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2BCCE90A" w14:textId="77777777" w:rsidR="00182B4E" w:rsidRPr="00CD2E10" w:rsidRDefault="00182B4E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6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6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Roman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45057F" w:rsidRDefault="00DB54F4" w:rsidP="002F0FC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7" w:name="_Hlk11836610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7E1B3AD0" w:rsidR="00DB54F4" w:rsidRPr="002F0FC3" w:rsidRDefault="00A35163" w:rsidP="002F0FC3">
            <w:pPr>
              <w:pStyle w:val="ConsPlusNormal"/>
              <w:numPr>
                <w:ilvl w:val="0"/>
                <w:numId w:val="19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- документирования хозяйственных операций и ведении бухгалтерского учета активов организации.</w:t>
            </w:r>
            <w:bookmarkEnd w:id="17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3C5AE8BF" w14:textId="77777777" w:rsidR="00DB54F4" w:rsidRPr="0045057F" w:rsidRDefault="00DB54F4" w:rsidP="00A3516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71"/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6D133A14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15A80C87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6AF542E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14:paraId="5E136F2E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14:paraId="2A9D0F74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группировку первичных бухгалтерских документов по ряду признаков;</w:t>
            </w:r>
          </w:p>
          <w:p w14:paraId="6666A383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таксировку и контировку первичных бухгалтерских документов;</w:t>
            </w:r>
          </w:p>
          <w:p w14:paraId="0A9BD8A5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организовывать документооборот;</w:t>
            </w:r>
          </w:p>
          <w:p w14:paraId="17D2F5AE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разбираться в номенклатуре дел;</w:t>
            </w:r>
          </w:p>
          <w:p w14:paraId="1327CF7B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заносить данные по сгруппированным документам в регистры бухгалтерского учета;</w:t>
            </w:r>
          </w:p>
          <w:p w14:paraId="794F6F2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передавать первичные бухгалтерские документы в текущий бухгалтерский архив;</w:t>
            </w:r>
          </w:p>
          <w:p w14:paraId="77684AB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14:paraId="77063732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исправлять ошибки в первичных бухгалтерских документах;</w:t>
            </w:r>
          </w:p>
          <w:p w14:paraId="448083B5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14:paraId="11498B0D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14:paraId="4D683276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конструировать поэтапно рабочий план счетов бухгалтерского учета организации;</w:t>
            </w:r>
          </w:p>
          <w:p w14:paraId="3164B04F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кассовых операций, денежных документов и переводов в пути;</w:t>
            </w:r>
          </w:p>
          <w:p w14:paraId="7ECC9F9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денежных средств на расчетных и специальных счетах;</w:t>
            </w:r>
          </w:p>
          <w:p w14:paraId="0B12417D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14:paraId="56671AB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оформлять денежные и кассовые документы;</w:t>
            </w:r>
          </w:p>
          <w:p w14:paraId="4C78FB8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заполнять кассовую книгу и отчет кассира в бухгалтерию;</w:t>
            </w:r>
          </w:p>
          <w:p w14:paraId="58565F74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основных средств;</w:t>
            </w:r>
          </w:p>
          <w:p w14:paraId="0498D72F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нематериальных активов;</w:t>
            </w:r>
          </w:p>
          <w:p w14:paraId="7683EB15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долгосрочных инвестиций;</w:t>
            </w:r>
          </w:p>
          <w:p w14:paraId="3DDE69A2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финансовых вложений и ценных бумаг;</w:t>
            </w:r>
          </w:p>
          <w:p w14:paraId="18874000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материально-производственных запасов;</w:t>
            </w:r>
          </w:p>
          <w:p w14:paraId="17AEF2CE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затрат на производство и калькулирование себестоимости;</w:t>
            </w:r>
          </w:p>
          <w:p w14:paraId="2DA58228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готовой продукции и ее реализации;</w:t>
            </w:r>
          </w:p>
          <w:p w14:paraId="417F10A6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текущих операций и расчетов;</w:t>
            </w:r>
          </w:p>
          <w:p w14:paraId="42AE7B29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труда и заработной платы;</w:t>
            </w:r>
          </w:p>
          <w:p w14:paraId="3AB798FB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финансовых результатов и использования прибыли;</w:t>
            </w:r>
          </w:p>
          <w:p w14:paraId="30749ACB" w14:textId="77777777" w:rsidR="00A35163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собственного капитала;</w:t>
            </w:r>
          </w:p>
          <w:p w14:paraId="71E103E6" w14:textId="60363E89" w:rsidR="00DB54F4" w:rsidRPr="00A35163" w:rsidRDefault="00A35163" w:rsidP="00A35163">
            <w:pPr>
              <w:pStyle w:val="ConsPlusNormal"/>
              <w:numPr>
                <w:ilvl w:val="0"/>
                <w:numId w:val="20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проводить учет кредитов и займов.</w:t>
            </w:r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45057F" w:rsidRDefault="00DB54F4" w:rsidP="00A35163">
            <w:pPr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52D6022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14:paraId="771DDE6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 первичной бухгалтерской документации;</w:t>
            </w:r>
          </w:p>
          <w:p w14:paraId="4FEAB4E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определение первичных бухгалтерских документов;</w:t>
            </w:r>
          </w:p>
          <w:p w14:paraId="7A2B738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6FFD2D22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14:paraId="5EB958A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14:paraId="078BD14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проведения таксировки и контировки первичных бухгалтерских документов;</w:t>
            </w:r>
          </w:p>
          <w:p w14:paraId="19E8178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составления регистров бухгалтерского учета;</w:t>
            </w:r>
          </w:p>
          <w:p w14:paraId="77DBC9F1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правила и сроки хранения первичной бухгалтерской документации;</w:t>
            </w:r>
          </w:p>
          <w:p w14:paraId="45DF2753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14:paraId="1CF46FE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14:paraId="68758EB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14:paraId="00F1CDBE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принципы и цели разработки рабочего плана счетов бухгалтерского учета организации;</w:t>
            </w:r>
          </w:p>
          <w:p w14:paraId="576EA6C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14:paraId="4B00CEF9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14:paraId="791111F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кассовых операций, денежных документов и переводов в пути;</w:t>
            </w:r>
          </w:p>
          <w:p w14:paraId="1EEB96C3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денежных средств на расчетных и специальных счетах;</w:t>
            </w:r>
          </w:p>
          <w:p w14:paraId="4F0382E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особенности учета кассовых операций в иностранной валюте и операций по валютным счетам;</w:t>
            </w:r>
          </w:p>
          <w:p w14:paraId="54C14CAE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порядок оформления денежных и кассовых документов, заполнения кассовой книги;</w:t>
            </w:r>
          </w:p>
          <w:p w14:paraId="16A77F9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правила заполнения отчета кассира в бухгалтерию;</w:t>
            </w:r>
          </w:p>
          <w:p w14:paraId="32D759B1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 и классификацию основных средств;</w:t>
            </w:r>
          </w:p>
          <w:p w14:paraId="0A98A2D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оценку и переоценку основных средств;</w:t>
            </w:r>
          </w:p>
          <w:p w14:paraId="1CAC974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поступления основных средств;</w:t>
            </w:r>
          </w:p>
          <w:p w14:paraId="24356CD2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выбытия и аренды основных средств;</w:t>
            </w:r>
          </w:p>
          <w:p w14:paraId="309C73D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амортизации основных средств;</w:t>
            </w:r>
          </w:p>
          <w:p w14:paraId="7D14670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особенности учета арендованных и сданных в аренду основных средств;</w:t>
            </w:r>
          </w:p>
          <w:p w14:paraId="12C2522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 и классификацию нематериальных активов;</w:t>
            </w:r>
          </w:p>
          <w:p w14:paraId="43D6D339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поступления и выбытия нематериальных активов;</w:t>
            </w:r>
          </w:p>
          <w:p w14:paraId="237213D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амортизацию нематериальных активов;</w:t>
            </w:r>
          </w:p>
          <w:p w14:paraId="6A70DD2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долгосрочных инвестиций;</w:t>
            </w:r>
          </w:p>
          <w:p w14:paraId="06E1E3AA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финансовых вложений и ценных бумаг;</w:t>
            </w:r>
          </w:p>
          <w:p w14:paraId="22E79BD8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материально-производственных запасов:</w:t>
            </w:r>
          </w:p>
          <w:p w14:paraId="2A5271F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понятие, классификацию и оценку материально-производственных запасов;</w:t>
            </w:r>
          </w:p>
          <w:p w14:paraId="37EA783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поступления и расхода материально-производственных запасов;</w:t>
            </w:r>
          </w:p>
          <w:p w14:paraId="39133A10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материалов на складе и в бухгалтерии;</w:t>
            </w:r>
          </w:p>
          <w:p w14:paraId="31A74E5B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синтетический учет движения материалов;</w:t>
            </w:r>
          </w:p>
          <w:p w14:paraId="7A75CB07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транспортно-заготовительных расходов;</w:t>
            </w:r>
          </w:p>
          <w:p w14:paraId="13FAC0C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затрат на производство и калькулирование себестоимости:</w:t>
            </w:r>
          </w:p>
          <w:p w14:paraId="15C38305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систему учета производственных затрат и их классификацию;</w:t>
            </w:r>
          </w:p>
          <w:p w14:paraId="088604AD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сводный учет затрат на производство, обслуживание производства и управление;</w:t>
            </w:r>
          </w:p>
          <w:p w14:paraId="186E1A9F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особенности учета и распределения затрат вспомогательных производств;</w:t>
            </w:r>
          </w:p>
          <w:p w14:paraId="52FFFAF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потерь и непроизводственных расходов;</w:t>
            </w:r>
          </w:p>
          <w:p w14:paraId="414B87D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и оценку незавершенного производства;</w:t>
            </w:r>
          </w:p>
          <w:p w14:paraId="09A7CA42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калькуляцию себестоимости продукции;</w:t>
            </w:r>
          </w:p>
          <w:p w14:paraId="0506F676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характеристику готовой продукции, оценку и синтетический учет;</w:t>
            </w:r>
          </w:p>
          <w:p w14:paraId="7729ADFC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технологию реализации готовой продукции (работ, услуг);</w:t>
            </w:r>
          </w:p>
          <w:p w14:paraId="1504815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выручки от реализации продукции (работ, услуг);</w:t>
            </w:r>
          </w:p>
          <w:p w14:paraId="68E232D4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расходов по реализации продукции, выполнению работ и оказанию услуг;</w:t>
            </w:r>
          </w:p>
          <w:p w14:paraId="48C4DB83" w14:textId="77777777" w:rsidR="00A35163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дебиторской и кредиторской задолженности и формы расчетов;</w:t>
            </w:r>
          </w:p>
          <w:p w14:paraId="41A488AD" w14:textId="784A8499" w:rsidR="00DB54F4" w:rsidRPr="00A35163" w:rsidRDefault="00A35163" w:rsidP="00A35163">
            <w:pPr>
              <w:pStyle w:val="ConsPlusNormal"/>
              <w:numPr>
                <w:ilvl w:val="0"/>
                <w:numId w:val="21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163">
              <w:rPr>
                <w:rFonts w:ascii="Times New Roman" w:hAnsi="Times New Roman" w:cs="Times New Roman"/>
                <w:sz w:val="24"/>
                <w:szCs w:val="24"/>
              </w:rPr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8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7A59CB4" w14:textId="3661BFCE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74A04327" w:rsidR="00147FE5" w:rsidRPr="00147FE5" w:rsidRDefault="006A3561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A356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специальности 38.02.01 Экономика и бухгалтерский учет (по отраслям)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49048161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</w:t>
            </w:r>
            <w:r w:rsidR="006A3561" w:rsidRPr="006A356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практики: Семенова А.В., 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38787F62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учебная 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122"/>
        <w:gridCol w:w="283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7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7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34B43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8D8BBC" w14:textId="01BBB2AA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организации</w:t>
            </w:r>
          </w:p>
          <w:p w14:paraId="0A3667B1" w14:textId="18C1D1FE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0F30D98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25D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7683454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D7542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17B4347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AC3BB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560D27" w:rsidRPr="006C1510" w14:paraId="685FE6AA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D0E1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0746F080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10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68B3B71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850E87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3297C28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74353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содержания и оформления отчета по практике:</w:t>
            </w:r>
          </w:p>
        </w:tc>
      </w:tr>
      <w:tr w:rsidR="00560D27" w:rsidRPr="006C1510" w14:paraId="7C4D2BC0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CDED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295BA8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94628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04CA37C6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2197D2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7911542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A4A4B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B62E409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E9620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по практике:__________________.</w:t>
            </w:r>
          </w:p>
        </w:tc>
      </w:tr>
      <w:tr w:rsidR="00560D27" w:rsidRPr="006C1510" w14:paraId="6BE6B645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D31557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D91C5BF" w14:textId="77777777" w:rsidTr="00C46830">
        <w:trPr>
          <w:gridAfter w:val="1"/>
          <w:wAfter w:w="4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EB6516" w14:textId="33B37316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 от </w:t>
            </w:r>
            <w:r w:rsidR="00D754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образовательной организации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организации</w:t>
            </w:r>
          </w:p>
        </w:tc>
      </w:tr>
      <w:tr w:rsidR="00560D27" w:rsidRPr="006C1510" w14:paraId="7C56EE79" w14:textId="77777777" w:rsidTr="00C46830">
        <w:trPr>
          <w:gridAfter w:val="1"/>
          <w:wAfter w:w="43" w:type="dxa"/>
        </w:trPr>
        <w:tc>
          <w:tcPr>
            <w:tcW w:w="31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C188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262C0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4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B4957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D6AD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CBEFD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BC856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CE79BBD" w14:textId="77777777" w:rsidTr="00C46830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07964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1D51F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DB28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73B44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5495F1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D1E8D2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D969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0F0CE75B" w14:textId="77777777" w:rsidTr="00C46830">
        <w:trPr>
          <w:gridAfter w:val="1"/>
          <w:wAfter w:w="43" w:type="dxa"/>
          <w:trHeight w:val="77"/>
        </w:trPr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7CE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1B4C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AE06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78D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4E081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9991E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0320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195232FB" w14:textId="77777777" w:rsidR="00C67CA1" w:rsidRPr="00C67CA1" w:rsidRDefault="00C67CA1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vanish/>
          <w:color w:val="auto"/>
          <w:sz w:val="28"/>
          <w:szCs w:val="28"/>
          <w:lang w:bidi="ar-SA"/>
          <w:specVanish/>
        </w:rPr>
      </w:pPr>
    </w:p>
    <w:p w14:paraId="699A411A" w14:textId="77777777" w:rsidR="00C67CA1" w:rsidRDefault="00C67CA1" w:rsidP="00C67CA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BD9FD91" w14:textId="77777777" w:rsidR="00C67CA1" w:rsidRDefault="00C67CA1" w:rsidP="00C67CA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48DD44" w14:textId="77777777" w:rsidR="00C67CA1" w:rsidRDefault="00C67CA1" w:rsidP="00C67CA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C67CA1" w14:paraId="4FAEA10A" w14:textId="77777777" w:rsidTr="00C67CA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C07E01" w14:textId="77777777" w:rsidR="00C67CA1" w:rsidRDefault="00C67CA1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C67CA1" w14:paraId="0F346B72" w14:textId="77777777" w:rsidTr="00C67CA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C67CA1" w14:paraId="5870561E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64CAB4" w14:textId="739FDE64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242724EE" wp14:editId="2FC8BABE">
                        <wp:extent cx="381000" cy="381000"/>
                        <wp:effectExtent l="0" t="0" r="0" b="0"/>
                        <wp:docPr id="134496429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C165EF" w14:textId="77777777" w:rsidR="00C67CA1" w:rsidRDefault="00C67CA1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8A4A3FF" w14:textId="77777777" w:rsidR="00C67CA1" w:rsidRDefault="00C67CA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C67CA1" w14:paraId="58B2492E" w14:textId="77777777" w:rsidTr="00C67CA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0AA6EA" w14:textId="77777777" w:rsidR="00C67CA1" w:rsidRDefault="00C67CA1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C67CA1" w14:paraId="21C950B7" w14:textId="77777777" w:rsidTr="00C67CA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C67CA1" w14:paraId="23E92C0B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AE524F" w14:textId="77777777" w:rsidR="00C67CA1" w:rsidRDefault="00C67CA1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C98906B" w14:textId="77777777" w:rsidR="00C67CA1" w:rsidRDefault="00C67CA1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C67CA1" w14:paraId="67D3871B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4B6D4D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FACEB81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C67CA1" w14:paraId="3D240E4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8F30F72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A44CD2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C67CA1" w14:paraId="7200113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44622E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97754E0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C67CA1" w14:paraId="0904657F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A1E804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94EA45D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C67CA1" w14:paraId="7194F503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B66739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A29E04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C67CA1" w14:paraId="38F4FD2A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A887410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D9934E" w14:textId="77777777" w:rsidR="00C67CA1" w:rsidRDefault="00C67CA1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18:12:38 UTC+05</w:t>
                  </w:r>
                </w:p>
              </w:tc>
            </w:tr>
          </w:tbl>
          <w:p w14:paraId="29A10854" w14:textId="77777777" w:rsidR="00C67CA1" w:rsidRDefault="00C67CA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432A39EC" w14:textId="77777777" w:rsidR="00C67CA1" w:rsidRDefault="00C67CA1" w:rsidP="00C67CA1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3EC71B00" w14:textId="34E16E15" w:rsidR="00D1015E" w:rsidRDefault="00D1015E" w:rsidP="00C67CA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051C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3AA17" w14:textId="77777777" w:rsidR="00051C02" w:rsidRDefault="00051C02" w:rsidP="00AD1B26">
      <w:r>
        <w:separator/>
      </w:r>
    </w:p>
  </w:endnote>
  <w:endnote w:type="continuationSeparator" w:id="0">
    <w:p w14:paraId="525143B1" w14:textId="77777777" w:rsidR="00051C02" w:rsidRDefault="00051C02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77CD" w14:textId="77777777" w:rsidR="00C67CA1" w:rsidRDefault="00C67CA1">
    <w:pPr>
      <w:pStyle w:val="af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30DB0" w14:textId="77777777" w:rsidR="00C67CA1" w:rsidRDefault="00C67CA1">
    <w:pPr>
      <w:pStyle w:val="af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821D" w14:textId="77777777" w:rsidR="00C67CA1" w:rsidRDefault="00C67CA1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A8AD7" w14:textId="77777777" w:rsidR="00051C02" w:rsidRDefault="00051C02"/>
  </w:footnote>
  <w:footnote w:type="continuationSeparator" w:id="0">
    <w:p w14:paraId="5A6A0B83" w14:textId="77777777" w:rsidR="00051C02" w:rsidRDefault="00051C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6398" w14:textId="77777777" w:rsidR="00C67CA1" w:rsidRDefault="00C67CA1">
    <w:pPr>
      <w:pStyle w:val="a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C15D" w14:textId="09A67D17" w:rsidR="00C67CA1" w:rsidRDefault="00C67CA1">
    <w:pPr>
      <w:pStyle w:val="aff1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754D6" w14:textId="77777777" w:rsidR="00C67CA1" w:rsidRDefault="00C67CA1">
    <w:pPr>
      <w:pStyle w:val="af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0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7421AB8"/>
    <w:multiLevelType w:val="hybridMultilevel"/>
    <w:tmpl w:val="9052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26" w15:restartNumberingAfterBreak="0">
    <w:nsid w:val="76630AC0"/>
    <w:multiLevelType w:val="hybridMultilevel"/>
    <w:tmpl w:val="27786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8"/>
  </w:num>
  <w:num w:numId="2" w16cid:durableId="1645968954">
    <w:abstractNumId w:val="22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25"/>
  </w:num>
  <w:num w:numId="6" w16cid:durableId="1235896721">
    <w:abstractNumId w:val="10"/>
  </w:num>
  <w:num w:numId="7" w16cid:durableId="1294601043">
    <w:abstractNumId w:val="23"/>
  </w:num>
  <w:num w:numId="8" w16cid:durableId="1719622530">
    <w:abstractNumId w:val="16"/>
  </w:num>
  <w:num w:numId="9" w16cid:durableId="385690539">
    <w:abstractNumId w:val="13"/>
  </w:num>
  <w:num w:numId="10" w16cid:durableId="1271668690">
    <w:abstractNumId w:val="9"/>
  </w:num>
  <w:num w:numId="11" w16cid:durableId="406193430">
    <w:abstractNumId w:val="17"/>
  </w:num>
  <w:num w:numId="12" w16cid:durableId="945623642">
    <w:abstractNumId w:val="19"/>
  </w:num>
  <w:num w:numId="13" w16cid:durableId="919755950">
    <w:abstractNumId w:val="11"/>
  </w:num>
  <w:num w:numId="14" w16cid:durableId="1352295770">
    <w:abstractNumId w:val="6"/>
  </w:num>
  <w:num w:numId="15" w16cid:durableId="1826235985">
    <w:abstractNumId w:val="14"/>
  </w:num>
  <w:num w:numId="16" w16cid:durableId="201864173">
    <w:abstractNumId w:val="18"/>
  </w:num>
  <w:num w:numId="17" w16cid:durableId="157968953">
    <w:abstractNumId w:val="20"/>
  </w:num>
  <w:num w:numId="18" w16cid:durableId="1639800992">
    <w:abstractNumId w:val="12"/>
  </w:num>
  <w:num w:numId="19" w16cid:durableId="1502697626">
    <w:abstractNumId w:val="21"/>
  </w:num>
  <w:num w:numId="20" w16cid:durableId="741023525">
    <w:abstractNumId w:val="28"/>
  </w:num>
  <w:num w:numId="21" w16cid:durableId="507450879">
    <w:abstractNumId w:val="7"/>
  </w:num>
  <w:num w:numId="22" w16cid:durableId="2051371163">
    <w:abstractNumId w:val="15"/>
  </w:num>
  <w:num w:numId="23" w16cid:durableId="124662396">
    <w:abstractNumId w:val="29"/>
  </w:num>
  <w:num w:numId="24" w16cid:durableId="147553892">
    <w:abstractNumId w:val="5"/>
  </w:num>
  <w:num w:numId="25" w16cid:durableId="1668047483">
    <w:abstractNumId w:val="27"/>
  </w:num>
  <w:num w:numId="26" w16cid:durableId="866021569">
    <w:abstractNumId w:val="26"/>
  </w:num>
  <w:num w:numId="27" w16cid:durableId="1026253072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43BCA"/>
    <w:rsid w:val="000440F8"/>
    <w:rsid w:val="0004608F"/>
    <w:rsid w:val="00051C02"/>
    <w:rsid w:val="00061ACA"/>
    <w:rsid w:val="0006316B"/>
    <w:rsid w:val="00066502"/>
    <w:rsid w:val="00075C33"/>
    <w:rsid w:val="000B47F4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056F6"/>
    <w:rsid w:val="00210ACE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43484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2672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60D27"/>
    <w:rsid w:val="00576E0F"/>
    <w:rsid w:val="00580D38"/>
    <w:rsid w:val="005A2243"/>
    <w:rsid w:val="005A2923"/>
    <w:rsid w:val="005B2029"/>
    <w:rsid w:val="005C165D"/>
    <w:rsid w:val="005C16A7"/>
    <w:rsid w:val="005C381D"/>
    <w:rsid w:val="005C6F90"/>
    <w:rsid w:val="005C7CDF"/>
    <w:rsid w:val="005D6818"/>
    <w:rsid w:val="005F0539"/>
    <w:rsid w:val="00626F4C"/>
    <w:rsid w:val="00631550"/>
    <w:rsid w:val="00633DB0"/>
    <w:rsid w:val="006360B0"/>
    <w:rsid w:val="00637D0B"/>
    <w:rsid w:val="00645F3C"/>
    <w:rsid w:val="00647A75"/>
    <w:rsid w:val="0065240F"/>
    <w:rsid w:val="006641CD"/>
    <w:rsid w:val="00665B53"/>
    <w:rsid w:val="0066722F"/>
    <w:rsid w:val="0067060C"/>
    <w:rsid w:val="006768C8"/>
    <w:rsid w:val="006777DF"/>
    <w:rsid w:val="0068544A"/>
    <w:rsid w:val="006A3561"/>
    <w:rsid w:val="006A357B"/>
    <w:rsid w:val="006B3DEA"/>
    <w:rsid w:val="006D0F6C"/>
    <w:rsid w:val="006D2A5A"/>
    <w:rsid w:val="006E1332"/>
    <w:rsid w:val="006E36B3"/>
    <w:rsid w:val="0071492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94BA3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20103"/>
    <w:rsid w:val="0093306F"/>
    <w:rsid w:val="0094305F"/>
    <w:rsid w:val="009513DB"/>
    <w:rsid w:val="00956B57"/>
    <w:rsid w:val="009772AE"/>
    <w:rsid w:val="00982975"/>
    <w:rsid w:val="00985450"/>
    <w:rsid w:val="00985F8B"/>
    <w:rsid w:val="0099606D"/>
    <w:rsid w:val="009B453F"/>
    <w:rsid w:val="009B6174"/>
    <w:rsid w:val="009D223E"/>
    <w:rsid w:val="009D66C9"/>
    <w:rsid w:val="009E36CF"/>
    <w:rsid w:val="009F5A43"/>
    <w:rsid w:val="009F6479"/>
    <w:rsid w:val="00A00D69"/>
    <w:rsid w:val="00A20413"/>
    <w:rsid w:val="00A25B4E"/>
    <w:rsid w:val="00A35163"/>
    <w:rsid w:val="00A7027A"/>
    <w:rsid w:val="00AB1AEF"/>
    <w:rsid w:val="00AC19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093E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67CA1"/>
    <w:rsid w:val="00C71FFF"/>
    <w:rsid w:val="00C72D28"/>
    <w:rsid w:val="00C81E38"/>
    <w:rsid w:val="00C8226D"/>
    <w:rsid w:val="00C84AE8"/>
    <w:rsid w:val="00C9000A"/>
    <w:rsid w:val="00C92BD4"/>
    <w:rsid w:val="00C9520D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2924"/>
    <w:rsid w:val="00D73D32"/>
    <w:rsid w:val="00D75464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12DFE"/>
    <w:rsid w:val="00E15DAC"/>
    <w:rsid w:val="00E40456"/>
    <w:rsid w:val="00E46A6E"/>
    <w:rsid w:val="00E55507"/>
    <w:rsid w:val="00E706C9"/>
    <w:rsid w:val="00E71937"/>
    <w:rsid w:val="00E81F49"/>
    <w:rsid w:val="00E83E86"/>
    <w:rsid w:val="00EB1128"/>
    <w:rsid w:val="00EC6873"/>
    <w:rsid w:val="00ED2C2C"/>
    <w:rsid w:val="00ED3588"/>
    <w:rsid w:val="00EE6379"/>
    <w:rsid w:val="00EF5C27"/>
    <w:rsid w:val="00F03592"/>
    <w:rsid w:val="00F07C2D"/>
    <w:rsid w:val="00F21BAE"/>
    <w:rsid w:val="00F2388C"/>
    <w:rsid w:val="00F244ED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2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6945</Words>
  <Characters>39590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2022-03-17T05:48:00Z</cp:lastPrinted>
  <dcterms:created xsi:type="dcterms:W3CDTF">2024-03-21T16:11:00Z</dcterms:created>
  <dcterms:modified xsi:type="dcterms:W3CDTF">2024-03-21T16:11:00Z</dcterms:modified>
</cp:coreProperties>
</file>